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FE" w:rsidRDefault="007146FE" w:rsidP="007146FE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</w:pPr>
      <w:bookmarkStart w:id="0" w:name="n3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-91440</wp:posOffset>
            </wp:positionV>
            <wp:extent cx="571500" cy="762000"/>
            <wp:effectExtent l="0" t="0" r="0" b="0"/>
            <wp:wrapThrough wrapText="bothSides">
              <wp:wrapPolygon edited="0">
                <wp:start x="0" y="0"/>
                <wp:lineTo x="0" y="18900"/>
                <wp:lineTo x="7200" y="21060"/>
                <wp:lineTo x="13680" y="21060"/>
                <wp:lineTo x="20880" y="18900"/>
                <wp:lineTo x="20880" y="0"/>
                <wp:lineTo x="0" y="0"/>
              </wp:wrapPolygon>
            </wp:wrapThrough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7146FE">
        <w:rPr>
          <w:rFonts w:ascii="Times New Roman" w:eastAsia="Times New Roman" w:hAnsi="Times New Roman" w:cs="Times New Roman"/>
          <w:b/>
          <w:bCs/>
          <w:i/>
          <w:iCs/>
          <w:spacing w:val="60"/>
          <w:sz w:val="28"/>
          <w:szCs w:val="24"/>
          <w:lang w:eastAsia="ru-RU"/>
        </w:rPr>
        <w:t>ЗАКОН УКРАЇНИ</w:t>
      </w:r>
    </w:p>
    <w:p w:rsidR="007146FE" w:rsidRDefault="007146FE" w:rsidP="007146FE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7146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Про </w:t>
      </w:r>
      <w:proofErr w:type="spellStart"/>
      <w:r w:rsidRPr="007146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внесення</w:t>
      </w:r>
      <w:proofErr w:type="spellEnd"/>
      <w:r w:rsidRPr="007146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змін</w:t>
      </w:r>
      <w:proofErr w:type="spellEnd"/>
      <w:r w:rsidRPr="007146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 </w:t>
      </w:r>
      <w:proofErr w:type="spellStart"/>
      <w:r w:rsidRPr="007146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деяких</w:t>
      </w:r>
      <w:proofErr w:type="spellEnd"/>
      <w:r w:rsidRPr="007146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законодавчих</w:t>
      </w:r>
      <w:proofErr w:type="spellEnd"/>
      <w:r w:rsidRPr="007146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актів</w:t>
      </w:r>
      <w:proofErr w:type="spellEnd"/>
      <w:r w:rsidRPr="007146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України</w:t>
      </w:r>
      <w:proofErr w:type="spellEnd"/>
      <w:r w:rsidRPr="007146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щодо</w:t>
      </w:r>
      <w:proofErr w:type="spellEnd"/>
      <w:r w:rsidRPr="007146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запобігання</w:t>
      </w:r>
      <w:proofErr w:type="spellEnd"/>
      <w:r w:rsidRPr="007146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та </w:t>
      </w:r>
      <w:proofErr w:type="spellStart"/>
      <w:r w:rsidRPr="007146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протидії</w:t>
      </w:r>
      <w:proofErr w:type="spellEnd"/>
      <w:r w:rsidRPr="007146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мобінгу</w:t>
      </w:r>
      <w:proofErr w:type="spellEnd"/>
      <w:r w:rsidRPr="007146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цькуванню</w:t>
      </w:r>
      <w:proofErr w:type="spellEnd"/>
      <w:r w:rsidRPr="007146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4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 </w:t>
      </w:r>
      <w:proofErr w:type="spellStart"/>
      <w:r w:rsidRPr="00714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Київ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листопада 2022 року</w: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2759-IX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4"/>
      <w:bookmarkEnd w:id="1"/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Верховна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146FE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>постановля</w:t>
      </w:r>
      <w:proofErr w:type="gramStart"/>
      <w:r w:rsidRPr="007146FE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>є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5"/>
      <w:bookmarkEnd w:id="2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Внести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законодавчих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6"/>
      <w:bookmarkEnd w:id="3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"https://zakon.rada.gov.ua/laws/show/322-08" \t "_blank" </w:instrTex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Кодексі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працю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України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</w:t>
      </w:r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ади УРСР, 1971 р.,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№ 50, ст. 375):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7"/>
      <w:bookmarkEnd w:id="4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друге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"https://zakon.rada.gov.ua/laws/show/322-08" \l "n24" \t "_blank" </w:instrTex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другої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"право на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"на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гідне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боку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8"/>
      <w:bookmarkEnd w:id="5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статтею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7146F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-2</w: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такого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6" w:name="n9"/>
      <w:bookmarkEnd w:id="6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714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714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7146F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-2</w: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Заборона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мобінгу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10"/>
      <w:bookmarkEnd w:id="7"/>
      <w:proofErr w:type="spellStart"/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Мобінг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повторювані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умисні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приниження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гідності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ділової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репутації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набуття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та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проявляються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тиску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комунікацій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напруженої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образливої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змушує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недооцінювати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придатність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n11"/>
      <w:bookmarkEnd w:id="8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Формами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тиску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, є:</w:t>
      </w:r>
      <w:proofErr w:type="gramEnd"/>
    </w:p>
    <w:p w:rsidR="007146FE" w:rsidRPr="007146FE" w:rsidRDefault="007146FE" w:rsidP="007146F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n12"/>
      <w:bookmarkEnd w:id="9"/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напруженої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образливої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(погрози,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висміювання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наклепи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зневажливі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зауваження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поведінка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загрозливого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залякуючого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принизливого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характеру та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виведення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івноваги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13"/>
      <w:bookmarkEnd w:id="10"/>
      <w:proofErr w:type="spellStart"/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безпідставне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негативне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виокремлення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ізоляція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незапрошення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зустрічі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наради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локальних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нормативних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організаційно-розпорядчих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перешкоджання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виконанню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робоче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непристосовані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виду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7146FE" w:rsidRPr="007146FE" w:rsidRDefault="007146FE" w:rsidP="007146F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n14"/>
      <w:bookmarkEnd w:id="11"/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нерівність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можливостей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кар’єрного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росту;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15"/>
      <w:bookmarkEnd w:id="12"/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нерівна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за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виконується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n16"/>
      <w:bookmarkEnd w:id="13"/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безпідставне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премій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бонусі</w:t>
      </w:r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заохочень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n17"/>
      <w:bookmarkEnd w:id="14"/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необґрунтований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нерівномірний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роботодавцем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однаковою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кваліфікацією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продуктивністю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виконують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івноцінну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роботу.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n18"/>
      <w:bookmarkEnd w:id="15"/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посади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колективним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договором, не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вважаються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мобінгом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n19"/>
      <w:bookmarkEnd w:id="16"/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мобінгу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заборонено.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n20"/>
      <w:bookmarkEnd w:id="17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вважають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зазнали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мобінгу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скаргою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центрального органу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реалізує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контролю за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додержанням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та/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суду";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n21"/>
      <w:bookmarkEnd w:id="18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"https://zakon.rada.gov.ua/laws/show/322-08" \l "n38" \t "_blank" </w:instrTex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першу</w: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7146F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-1 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n22"/>
      <w:bookmarkEnd w:id="19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правовий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мобінгу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дискримінації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упередженого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гідності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зазнали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бездіяльності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права на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центрального органу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реалізує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контролю за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додержанням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до суду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скарги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заподіяної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бездіяльності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судового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набрало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n23"/>
      <w:bookmarkEnd w:id="20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"https://zakon.rada.gov.ua/laws/show/322-08" \l "n78" \t "_blank" </w:instrTex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другу</w: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тринадцятим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1" w:name="n24"/>
      <w:bookmarkEnd w:id="21"/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"заходи,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протидію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мобінгу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порушених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мобінгу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прав";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n25"/>
      <w:bookmarkEnd w:id="22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"https://zakon.rada.gov.ua/laws/show/322-08" \l "n221" \t "_blank" </w:instrTex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третю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n26"/>
      <w:bookmarkEnd w:id="23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у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визначений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строк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розірвати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трудовий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</w:t>
      </w:r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роботодавець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договору, чинив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мобінг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набрало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n27"/>
      <w:bookmarkEnd w:id="24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"https://zakon.rada.gov.ua/laws/show/322-08" \l "n232" \t "_blank" </w:instrTex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першу</w: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12 такого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n28"/>
      <w:bookmarkEnd w:id="25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"12)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мобінгу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набрало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n29"/>
      <w:bookmarkEnd w:id="26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"https://zakon.rada.gov.ua/laws/show/322-08" \l "n248" \t "_blank" </w:instrTex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першу</w: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</w:t>
      </w:r>
      <w:r w:rsidRPr="007146F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-2</w: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такого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n30"/>
      <w:bookmarkEnd w:id="27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"1</w:t>
      </w:r>
      <w:r w:rsidRPr="007146F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-2</w: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установи,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мобінгу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невжиття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набрало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n31"/>
      <w:bookmarkEnd w:id="28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"https://zakon.rada.gov.ua/laws/show/322-08" \l "n300" \t "_blank" </w:instrTex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першу</w: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 </w:t>
      </w:r>
      <w:proofErr w:type="spellStart"/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роботодавцем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договору"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мобінгу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невжиття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n32"/>
      <w:bookmarkEnd w:id="29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"https://zakon.rada.gov.ua/laws/show/322-08" \l "n824" \t "_blank" </w:instrTex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статтю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141</w: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"правил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протидії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мобінгу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цькуванню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)";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n33"/>
      <w:bookmarkEnd w:id="30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"https://zakon.rada.gov.ua/laws/show/322-08" \l "n899" \t "_blank" </w:instrTex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статтю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158</w: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другою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n34"/>
      <w:bookmarkEnd w:id="31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Роботодавець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зобов’язаний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психічного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ілактику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напруги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робочому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протидії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мобінгу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цькуванню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)";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n35"/>
      <w:bookmarkEnd w:id="32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11)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"https://zakon.rada.gov.ua/laws/show/322-08" \l "n955" \t "_blank" </w:instrTex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статтю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173</w: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другою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n36"/>
      <w:bookmarkEnd w:id="33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"У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ушкодження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причиною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мобінг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факт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ідтверджено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набрало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заподіяна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шкода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відшкодовується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понесених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n37"/>
      <w:bookmarkEnd w:id="34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12)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"https://zakon.rada.gov.ua/laws/show/322-08" \l "n1269" \t "_blank" </w:instrTex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першу</w: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237</w:t>
      </w:r>
      <w:r w:rsidRPr="007146F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-1</w: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n38"/>
      <w:bookmarkEnd w:id="35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роботодавцем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провадиться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прав, у тому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дискримінації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мобінгу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факт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ідтверджено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набрало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призвели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моральних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страждань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нормальних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життєвих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вимагають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зусиль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n39"/>
      <w:bookmarkEnd w:id="36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"https://zakon.rada.gov.ua/laws/show/3356-12" \t "_blank" </w:instrTex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України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договори і угоди"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</w:t>
      </w:r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ади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, 1993 р., № 36, ст. 361; 1997 р., № 11, ст. 89; 2008 р., № 25, ст. 240; 2013 р., № 32, ст. 412, № 47, ст. 659):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n40"/>
      <w:bookmarkEnd w:id="37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"https://zakon.rada.gov.ua/laws/show/3356-12" \l "n47" \t "_blank" </w:instrTex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другу</w: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дванадцятого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n41"/>
      <w:bookmarkEnd w:id="38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"заходи,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протидію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мобінгу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порушених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мобінгу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прав".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n42"/>
      <w:bookmarkEnd w:id="39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тринадцятий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чотирнадцятим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n43"/>
      <w:bookmarkEnd w:id="40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 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"https://zakon.rada.gov.ua/laws/show/3356-12" \l "n66" \t "_blank" </w:instrTex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8</w: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41" w:name="n44"/>
      <w:bookmarkEnd w:id="41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першу </w:t>
      </w:r>
      <w:proofErr w:type="spellStart"/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десятого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n45"/>
      <w:bookmarkEnd w:id="42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спрямованих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протидію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мобінгу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порушених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мобінгу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прав".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n46"/>
      <w:bookmarkEnd w:id="43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одинадцятий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дванадцятим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n47"/>
      <w:bookmarkEnd w:id="44"/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 </w:t>
      </w:r>
      <w:proofErr w:type="spellStart"/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дев’ятого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45" w:name="n48"/>
      <w:bookmarkEnd w:id="45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спрямованих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протидію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мобінгу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порушених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мобінгу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прав".</w:t>
      </w:r>
      <w:bookmarkStart w:id="46" w:name="n49"/>
      <w:bookmarkEnd w:id="46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десятий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одинадцятим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n50"/>
      <w:bookmarkEnd w:id="47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Прикінцеві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n51"/>
      <w:bookmarkEnd w:id="48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n52"/>
      <w:bookmarkEnd w:id="49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Законом:</w:t>
      </w:r>
    </w:p>
    <w:p w:rsidR="007146FE" w:rsidRP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n53"/>
      <w:bookmarkEnd w:id="50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правові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Законом;</w:t>
      </w:r>
    </w:p>
    <w:p w:rsidR="007146FE" w:rsidRDefault="007146FE" w:rsidP="007146F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1" w:name="n54"/>
      <w:bookmarkEnd w:id="51"/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приведення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міністерствами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правових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</w:t>
      </w:r>
      <w:proofErr w:type="gram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71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</w:t>
      </w:r>
    </w:p>
    <w:p w:rsidR="007146FE" w:rsidRPr="007146FE" w:rsidRDefault="007146FE" w:rsidP="007146FE">
      <w:pPr>
        <w:spacing w:after="0" w:line="240" w:lineRule="auto"/>
        <w:ind w:left="1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Президент </w:t>
      </w:r>
      <w:proofErr w:type="spellStart"/>
      <w:r w:rsidRPr="00714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</w:p>
    <w:p w:rsidR="00B94915" w:rsidRDefault="007146FE" w:rsidP="007146FE">
      <w:pPr>
        <w:spacing w:after="0" w:line="240" w:lineRule="auto"/>
        <w:ind w:left="14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14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ЗЕЛЕНСЬКИЙ</w:t>
      </w:r>
      <w:bookmarkStart w:id="52" w:name="n55"/>
      <w:bookmarkEnd w:id="52"/>
    </w:p>
    <w:p w:rsidR="00E87F73" w:rsidRPr="00E87F73" w:rsidRDefault="00E87F73" w:rsidP="00E87F73">
      <w:pPr>
        <w:pStyle w:val="1"/>
        <w:pBdr>
          <w:bottom w:val="single" w:sz="6" w:space="0" w:color="A2A9B1"/>
        </w:pBdr>
        <w:spacing w:before="0" w:beforeAutospacing="0" w:after="60" w:afterAutospacing="0"/>
        <w:jc w:val="center"/>
        <w:rPr>
          <w:rFonts w:ascii="Georgia" w:hAnsi="Georgia"/>
          <w:bCs w:val="0"/>
          <w:color w:val="000000"/>
          <w:sz w:val="43"/>
          <w:szCs w:val="43"/>
        </w:rPr>
      </w:pPr>
      <w:proofErr w:type="spellStart"/>
      <w:r w:rsidRPr="00E87F73">
        <w:rPr>
          <w:rFonts w:ascii="Georgia" w:hAnsi="Georgia"/>
          <w:bCs w:val="0"/>
          <w:color w:val="000000"/>
          <w:sz w:val="43"/>
          <w:szCs w:val="43"/>
        </w:rPr>
        <w:lastRenderedPageBreak/>
        <w:t>Мобінг</w:t>
      </w:r>
      <w:proofErr w:type="spellEnd"/>
      <w:r w:rsidRPr="00E87F73">
        <w:rPr>
          <w:rFonts w:ascii="Georgia" w:hAnsi="Georgia"/>
          <w:bCs w:val="0"/>
          <w:color w:val="000000"/>
          <w:sz w:val="43"/>
          <w:szCs w:val="43"/>
        </w:rPr>
        <w:t xml:space="preserve">: </w:t>
      </w:r>
      <w:proofErr w:type="spellStart"/>
      <w:r w:rsidRPr="00E87F73">
        <w:rPr>
          <w:rFonts w:ascii="Georgia" w:hAnsi="Georgia"/>
          <w:bCs w:val="0"/>
          <w:color w:val="000000"/>
          <w:sz w:val="43"/>
          <w:szCs w:val="43"/>
        </w:rPr>
        <w:t>поняття</w:t>
      </w:r>
      <w:proofErr w:type="spellEnd"/>
      <w:r w:rsidRPr="00E87F73">
        <w:rPr>
          <w:rFonts w:ascii="Georgia" w:hAnsi="Georgia"/>
          <w:bCs w:val="0"/>
          <w:color w:val="000000"/>
          <w:sz w:val="43"/>
          <w:szCs w:val="43"/>
        </w:rPr>
        <w:t xml:space="preserve">, </w:t>
      </w:r>
      <w:proofErr w:type="spellStart"/>
      <w:proofErr w:type="gramStart"/>
      <w:r w:rsidRPr="00E87F73">
        <w:rPr>
          <w:rFonts w:ascii="Georgia" w:hAnsi="Georgia"/>
          <w:bCs w:val="0"/>
          <w:color w:val="000000"/>
          <w:sz w:val="43"/>
          <w:szCs w:val="43"/>
        </w:rPr>
        <w:t>р</w:t>
      </w:r>
      <w:proofErr w:type="gramEnd"/>
      <w:r w:rsidRPr="00E87F73">
        <w:rPr>
          <w:rFonts w:ascii="Georgia" w:hAnsi="Georgia"/>
          <w:bCs w:val="0"/>
          <w:color w:val="000000"/>
          <w:sz w:val="43"/>
          <w:szCs w:val="43"/>
        </w:rPr>
        <w:t>ізновиди</w:t>
      </w:r>
      <w:proofErr w:type="spellEnd"/>
      <w:r w:rsidRPr="00E87F73">
        <w:rPr>
          <w:rFonts w:ascii="Georgia" w:hAnsi="Georgia"/>
          <w:bCs w:val="0"/>
          <w:color w:val="000000"/>
          <w:sz w:val="43"/>
          <w:szCs w:val="43"/>
        </w:rPr>
        <w:t xml:space="preserve">, причини, </w:t>
      </w:r>
      <w:proofErr w:type="spellStart"/>
      <w:r w:rsidRPr="00E87F73">
        <w:rPr>
          <w:rFonts w:ascii="Georgia" w:hAnsi="Georgia"/>
          <w:bCs w:val="0"/>
          <w:color w:val="000000"/>
          <w:sz w:val="43"/>
          <w:szCs w:val="43"/>
        </w:rPr>
        <w:t>відповідальність</w:t>
      </w:r>
      <w:proofErr w:type="spellEnd"/>
    </w:p>
    <w:p w:rsidR="00E87F73" w:rsidRPr="00E87F73" w:rsidRDefault="00E87F73" w:rsidP="00E87F73">
      <w:pPr>
        <w:pStyle w:val="2"/>
        <w:pBdr>
          <w:bottom w:val="single" w:sz="6" w:space="0" w:color="A2A9B1"/>
        </w:pBdr>
        <w:spacing w:before="0" w:beforeAutospacing="0" w:after="0" w:afterAutospacing="0"/>
        <w:ind w:left="-851"/>
        <w:jc w:val="both"/>
        <w:rPr>
          <w:bCs w:val="0"/>
          <w:i/>
          <w:sz w:val="28"/>
          <w:szCs w:val="28"/>
          <w:lang w:val="uk-UA"/>
        </w:rPr>
      </w:pPr>
      <w:r w:rsidRPr="00E87F73">
        <w:rPr>
          <w:rStyle w:val="mw-headline"/>
          <w:bCs w:val="0"/>
          <w:i/>
          <w:sz w:val="28"/>
          <w:szCs w:val="28"/>
          <w:lang w:val="uk-UA"/>
        </w:rPr>
        <w:t>Нормативна база</w:t>
      </w:r>
    </w:p>
    <w:p w:rsidR="00E87F73" w:rsidRPr="00E87F73" w:rsidRDefault="00E87F73" w:rsidP="00E87F73">
      <w:pPr>
        <w:numPr>
          <w:ilvl w:val="0"/>
          <w:numId w:val="2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E87F7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Європейська соціальна хартія</w:t>
        </w:r>
      </w:hyperlink>
    </w:p>
    <w:p w:rsidR="00E87F73" w:rsidRPr="00E87F73" w:rsidRDefault="00E87F73" w:rsidP="00E87F73">
      <w:pPr>
        <w:numPr>
          <w:ilvl w:val="0"/>
          <w:numId w:val="2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anchor="Text" w:history="1">
        <w:r w:rsidRPr="00E87F7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Директива Ради Європейських Співтовариств від 12 червня 1989 року № 89/391/ЄЕС про запровадження заходів, покликаних заохочувати до покращення безпеки та охорони здоров’я працівників на роботі</w:t>
        </w:r>
      </w:hyperlink>
      <w:bookmarkStart w:id="53" w:name="_GoBack"/>
      <w:bookmarkEnd w:id="53"/>
    </w:p>
    <w:p w:rsidR="00E87F73" w:rsidRPr="00E87F73" w:rsidRDefault="00E87F73" w:rsidP="00E87F73">
      <w:pPr>
        <w:numPr>
          <w:ilvl w:val="0"/>
          <w:numId w:val="2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E87F7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Директива Ради Європейського Співтовариства від 27 листопада 2000 року № 2000/78/ЄC про загальну систему рівного поводження в сфері зайнятості й професійної діяльності</w:t>
        </w:r>
      </w:hyperlink>
    </w:p>
    <w:p w:rsidR="00E87F73" w:rsidRPr="00E87F73" w:rsidRDefault="00E87F73" w:rsidP="00E87F73">
      <w:pPr>
        <w:numPr>
          <w:ilvl w:val="0"/>
          <w:numId w:val="2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E87F7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Кодекс законів про працю України</w:t>
        </w:r>
      </w:hyperlink>
    </w:p>
    <w:p w:rsidR="00E87F73" w:rsidRPr="00E87F73" w:rsidRDefault="00E87F73" w:rsidP="00E87F73">
      <w:pPr>
        <w:numPr>
          <w:ilvl w:val="0"/>
          <w:numId w:val="2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anchor="Text" w:history="1">
        <w:r w:rsidRPr="00E87F7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 xml:space="preserve">Закон України від 16 листопада 2022 року № 2759-IX "Про внесення змін до деяких законодавчих актів України щодо запобігання та протидії </w:t>
        </w:r>
        <w:proofErr w:type="spellStart"/>
        <w:r w:rsidRPr="00E87F7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мобінгу</w:t>
        </w:r>
        <w:proofErr w:type="spellEnd"/>
        <w:r w:rsidRPr="00E87F7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 xml:space="preserve"> (цькуванню)"</w:t>
        </w:r>
      </w:hyperlink>
    </w:p>
    <w:p w:rsidR="00E87F73" w:rsidRPr="00E87F73" w:rsidRDefault="00E87F73" w:rsidP="00E87F73">
      <w:pPr>
        <w:numPr>
          <w:ilvl w:val="0"/>
          <w:numId w:val="2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2" w:anchor="Text" w:history="1">
        <w:r w:rsidRPr="00E87F7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Закон України від 01 грудня 2022 року № 2806-ІХ «Про внесення змін до Кодексу України про адміністративні правопорушення щодо протидії порушенню прав у сфері праці»</w:t>
        </w:r>
      </w:hyperlink>
    </w:p>
    <w:p w:rsidR="00E87F73" w:rsidRPr="00E87F73" w:rsidRDefault="00E87F73" w:rsidP="00E87F73">
      <w:pPr>
        <w:pStyle w:val="2"/>
        <w:pBdr>
          <w:bottom w:val="single" w:sz="6" w:space="0" w:color="A2A9B1"/>
        </w:pBdr>
        <w:spacing w:before="0" w:beforeAutospacing="0" w:after="0" w:afterAutospacing="0"/>
        <w:ind w:left="-851"/>
        <w:jc w:val="both"/>
        <w:rPr>
          <w:bCs w:val="0"/>
          <w:i/>
          <w:sz w:val="28"/>
          <w:szCs w:val="28"/>
          <w:lang w:val="uk-UA"/>
        </w:rPr>
      </w:pPr>
      <w:r w:rsidRPr="00E87F73">
        <w:rPr>
          <w:rStyle w:val="mw-headline"/>
          <w:bCs w:val="0"/>
          <w:i/>
          <w:sz w:val="28"/>
          <w:szCs w:val="28"/>
          <w:lang w:val="uk-UA"/>
        </w:rPr>
        <w:t>Загальна інформація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sz w:val="28"/>
          <w:szCs w:val="28"/>
          <w:lang w:val="uk-UA"/>
        </w:rPr>
        <w:t>Працівники, зокрема мають право на здорові і безпечні умови праці, на гідне ставлення з боку роботодавця, інших працівників (частина друга статті 2 </w:t>
      </w:r>
      <w:hyperlink r:id="rId13" w:history="1">
        <w:r w:rsidRPr="00E87F73">
          <w:rPr>
            <w:rStyle w:val="a3"/>
            <w:color w:val="auto"/>
            <w:sz w:val="28"/>
            <w:szCs w:val="28"/>
            <w:lang w:val="uk-UA"/>
          </w:rPr>
          <w:t>Кодексу законів про працю України</w:t>
        </w:r>
      </w:hyperlink>
      <w:r w:rsidRPr="00E87F73">
        <w:rPr>
          <w:sz w:val="28"/>
          <w:szCs w:val="28"/>
          <w:lang w:val="uk-UA"/>
        </w:rPr>
        <w:t>).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sz w:val="28"/>
          <w:szCs w:val="28"/>
          <w:lang w:val="uk-UA"/>
        </w:rPr>
        <w:t>Відповідно до пункту 7 частини першої статті 1 </w:t>
      </w:r>
      <w:hyperlink r:id="rId14" w:anchor="n6" w:history="1">
        <w:r w:rsidRPr="00E87F73">
          <w:rPr>
            <w:rStyle w:val="a3"/>
            <w:color w:val="auto"/>
            <w:sz w:val="28"/>
            <w:szCs w:val="28"/>
            <w:lang w:val="uk-UA"/>
          </w:rPr>
          <w:t>Закону України "Про засади протидії та запобіганні дискримінації в Україні"</w:t>
        </w:r>
      </w:hyperlink>
      <w:r w:rsidRPr="00E87F73">
        <w:rPr>
          <w:sz w:val="28"/>
          <w:szCs w:val="28"/>
          <w:lang w:val="uk-UA"/>
        </w:rPr>
        <w:t> </w:t>
      </w:r>
      <w:r w:rsidRPr="00E87F73">
        <w:rPr>
          <w:b/>
          <w:bCs/>
          <w:sz w:val="28"/>
          <w:szCs w:val="28"/>
          <w:lang w:val="uk-UA"/>
        </w:rPr>
        <w:t>утиск</w:t>
      </w:r>
      <w:r w:rsidRPr="00E87F73">
        <w:rPr>
          <w:sz w:val="28"/>
          <w:szCs w:val="28"/>
          <w:lang w:val="uk-UA"/>
        </w:rPr>
        <w:t> - небажана для особи та/або групи осіб поведінка, метою або наслідком якої є приниження їх людської гідності за певними ознаками або створення стосовно такої особи чи групи осіб напруженої, ворожої, образливої або зневажливої атмосфери.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sz w:val="28"/>
          <w:szCs w:val="28"/>
          <w:lang w:val="uk-UA"/>
        </w:rPr>
        <w:t xml:space="preserve">В свою чергу </w:t>
      </w:r>
      <w:proofErr w:type="spellStart"/>
      <w:r w:rsidRPr="00E87F73">
        <w:rPr>
          <w:sz w:val="28"/>
          <w:szCs w:val="28"/>
          <w:lang w:val="uk-UA"/>
        </w:rPr>
        <w:t>поняття </w:t>
      </w:r>
      <w:r w:rsidRPr="00E87F73">
        <w:rPr>
          <w:b/>
          <w:bCs/>
          <w:i/>
          <w:iCs/>
          <w:sz w:val="28"/>
          <w:szCs w:val="28"/>
          <w:lang w:val="uk-UA"/>
        </w:rPr>
        <w:t>у</w:t>
      </w:r>
      <w:proofErr w:type="spellEnd"/>
      <w:r w:rsidRPr="00E87F73">
        <w:rPr>
          <w:b/>
          <w:bCs/>
          <w:i/>
          <w:iCs/>
          <w:sz w:val="28"/>
          <w:szCs w:val="28"/>
          <w:lang w:val="uk-UA"/>
        </w:rPr>
        <w:t>тиск</w:t>
      </w:r>
      <w:r w:rsidRPr="00E87F73">
        <w:rPr>
          <w:sz w:val="28"/>
          <w:szCs w:val="28"/>
          <w:lang w:val="uk-UA"/>
        </w:rPr>
        <w:t xml:space="preserve"> має більш широке юридичне застосування і розповсюджується на багато видів юридичних правовідносин, що ж стосується дискримінаційних дій під час виконання трудових обов'язків то в такому випадку застосовується </w:t>
      </w:r>
      <w:proofErr w:type="spellStart"/>
      <w:r w:rsidRPr="00E87F73">
        <w:rPr>
          <w:sz w:val="28"/>
          <w:szCs w:val="28"/>
          <w:lang w:val="uk-UA"/>
        </w:rPr>
        <w:t>визначення </w:t>
      </w:r>
      <w:r w:rsidRPr="00E87F73">
        <w:rPr>
          <w:b/>
          <w:bCs/>
          <w:i/>
          <w:iCs/>
          <w:sz w:val="28"/>
          <w:szCs w:val="28"/>
          <w:lang w:val="uk-UA"/>
        </w:rPr>
        <w:t>моб</w:t>
      </w:r>
      <w:proofErr w:type="spellEnd"/>
      <w:r w:rsidRPr="00E87F73">
        <w:rPr>
          <w:b/>
          <w:bCs/>
          <w:i/>
          <w:iCs/>
          <w:sz w:val="28"/>
          <w:szCs w:val="28"/>
          <w:lang w:val="uk-UA"/>
        </w:rPr>
        <w:t>інг</w:t>
      </w:r>
      <w:r w:rsidRPr="00E87F73">
        <w:rPr>
          <w:sz w:val="28"/>
          <w:szCs w:val="28"/>
          <w:lang w:val="uk-UA"/>
        </w:rPr>
        <w:t>. </w:t>
      </w:r>
      <w:hyperlink r:id="rId15" w:anchor="Text" w:history="1">
        <w:r w:rsidRPr="00E87F73">
          <w:rPr>
            <w:rStyle w:val="a3"/>
            <w:color w:val="auto"/>
            <w:sz w:val="28"/>
            <w:szCs w:val="28"/>
            <w:lang w:val="uk-UA"/>
          </w:rPr>
          <w:t>Стаття 2-2 Кодексу законів про працю України</w:t>
        </w:r>
      </w:hyperlink>
      <w:r w:rsidRPr="00E87F73">
        <w:rPr>
          <w:sz w:val="28"/>
          <w:szCs w:val="28"/>
          <w:lang w:val="uk-UA"/>
        </w:rPr>
        <w:t> визначає поняття цькування наступним чином:  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proofErr w:type="spellStart"/>
      <w:r w:rsidRPr="00E87F73">
        <w:rPr>
          <w:b/>
          <w:bCs/>
          <w:sz w:val="28"/>
          <w:szCs w:val="28"/>
          <w:lang w:val="uk-UA"/>
        </w:rPr>
        <w:t>Мобінг</w:t>
      </w:r>
      <w:proofErr w:type="spellEnd"/>
      <w:r w:rsidRPr="00E87F73">
        <w:rPr>
          <w:b/>
          <w:bCs/>
          <w:sz w:val="28"/>
          <w:szCs w:val="28"/>
          <w:lang w:val="uk-UA"/>
        </w:rPr>
        <w:t xml:space="preserve"> (цькування)</w:t>
      </w:r>
      <w:r w:rsidRPr="00E87F73">
        <w:rPr>
          <w:sz w:val="28"/>
          <w:szCs w:val="28"/>
          <w:lang w:val="uk-UA"/>
        </w:rPr>
        <w:t> - систематичні тривалі умисні дії або бездіяльність роботодавця, окремих працівників або групи працівників трудового колективу, які спрямовані на приниження честі та гідності працівника, його ділової репутації, у тому числі з метою набуття, зміни або припинення ним трудових прав та обов’язків, що проявляються у формі психологічного та/або економічного тиску, зокрема із застосуванням засобів електронних комунікацій, створення стосовно працівника напруженої, ворожої, образливої атмосфери, у тому числі такої, що змушує його недооцінювати свою професійну придатність.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proofErr w:type="spellStart"/>
      <w:r w:rsidRPr="00E87F73">
        <w:rPr>
          <w:i/>
          <w:iCs/>
          <w:sz w:val="28"/>
          <w:szCs w:val="28"/>
          <w:lang w:val="uk-UA"/>
        </w:rPr>
        <w:t>Мобінг</w:t>
      </w:r>
      <w:proofErr w:type="spellEnd"/>
      <w:r w:rsidRPr="00E87F73">
        <w:rPr>
          <w:i/>
          <w:iCs/>
          <w:sz w:val="28"/>
          <w:szCs w:val="28"/>
          <w:lang w:val="uk-UA"/>
        </w:rPr>
        <w:t xml:space="preserve"> може бути:</w:t>
      </w:r>
      <w:r w:rsidRPr="00E87F73">
        <w:rPr>
          <w:sz w:val="28"/>
          <w:szCs w:val="28"/>
          <w:lang w:val="uk-UA"/>
        </w:rPr>
        <w:t xml:space="preserve"> латентним і відкритим; індивідуальним і груповим, а також хронічним. Виживши одного колегу, </w:t>
      </w:r>
      <w:proofErr w:type="spellStart"/>
      <w:r w:rsidRPr="00E87F73">
        <w:rPr>
          <w:sz w:val="28"/>
          <w:szCs w:val="28"/>
          <w:lang w:val="uk-UA"/>
        </w:rPr>
        <w:t>мобер</w:t>
      </w:r>
      <w:proofErr w:type="spellEnd"/>
      <w:r w:rsidRPr="00E87F73">
        <w:rPr>
          <w:sz w:val="28"/>
          <w:szCs w:val="28"/>
          <w:lang w:val="uk-UA"/>
        </w:rPr>
        <w:t xml:space="preserve"> приймається за нову жертву, трапляються також </w:t>
      </w:r>
      <w:proofErr w:type="spellStart"/>
      <w:r w:rsidRPr="00E87F73">
        <w:rPr>
          <w:sz w:val="28"/>
          <w:szCs w:val="28"/>
          <w:lang w:val="uk-UA"/>
        </w:rPr>
        <w:t>булери-вампіри</w:t>
      </w:r>
      <w:proofErr w:type="spellEnd"/>
      <w:r w:rsidRPr="00E87F73">
        <w:rPr>
          <w:sz w:val="28"/>
          <w:szCs w:val="28"/>
          <w:lang w:val="uk-UA"/>
        </w:rPr>
        <w:t>, яких цікавить переважно процес цькування, а зовсім не результат у вигляді звільнення колеги або підлеглого.</w:t>
      </w:r>
    </w:p>
    <w:p w:rsidR="00E87F73" w:rsidRPr="00E87F73" w:rsidRDefault="00E87F73" w:rsidP="00E87F73">
      <w:pPr>
        <w:pStyle w:val="2"/>
        <w:pBdr>
          <w:bottom w:val="single" w:sz="6" w:space="0" w:color="A2A9B1"/>
        </w:pBdr>
        <w:spacing w:before="0" w:beforeAutospacing="0" w:after="0" w:afterAutospacing="0"/>
        <w:ind w:left="-851"/>
        <w:jc w:val="both"/>
        <w:rPr>
          <w:b w:val="0"/>
          <w:bCs w:val="0"/>
          <w:sz w:val="28"/>
          <w:szCs w:val="28"/>
          <w:lang w:val="uk-UA"/>
        </w:rPr>
      </w:pPr>
      <w:r w:rsidRPr="00E87F73">
        <w:rPr>
          <w:rStyle w:val="mw-headline"/>
          <w:b w:val="0"/>
          <w:bCs w:val="0"/>
          <w:sz w:val="28"/>
          <w:szCs w:val="28"/>
          <w:lang w:val="uk-UA"/>
        </w:rPr>
        <w:t xml:space="preserve">Причини виникнення </w:t>
      </w:r>
      <w:proofErr w:type="spellStart"/>
      <w:r w:rsidRPr="00E87F73">
        <w:rPr>
          <w:rStyle w:val="mw-headline"/>
          <w:b w:val="0"/>
          <w:bCs w:val="0"/>
          <w:sz w:val="28"/>
          <w:szCs w:val="28"/>
          <w:lang w:val="uk-UA"/>
        </w:rPr>
        <w:t>мобінгу</w:t>
      </w:r>
      <w:proofErr w:type="spellEnd"/>
      <w:r w:rsidRPr="00E87F73">
        <w:rPr>
          <w:rStyle w:val="mw-headline"/>
          <w:b w:val="0"/>
          <w:bCs w:val="0"/>
          <w:sz w:val="28"/>
          <w:szCs w:val="28"/>
          <w:lang w:val="uk-UA"/>
        </w:rPr>
        <w:t xml:space="preserve"> та його ознаки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i/>
          <w:sz w:val="28"/>
          <w:szCs w:val="28"/>
          <w:lang w:val="uk-UA"/>
        </w:rPr>
      </w:pPr>
      <w:r w:rsidRPr="00E87F73">
        <w:rPr>
          <w:b/>
          <w:bCs/>
          <w:i/>
          <w:sz w:val="28"/>
          <w:szCs w:val="28"/>
          <w:lang w:val="uk-UA"/>
        </w:rPr>
        <w:t xml:space="preserve">Причини </w:t>
      </w:r>
      <w:proofErr w:type="spellStart"/>
      <w:r w:rsidRPr="00E87F73">
        <w:rPr>
          <w:b/>
          <w:bCs/>
          <w:i/>
          <w:sz w:val="28"/>
          <w:szCs w:val="28"/>
          <w:lang w:val="uk-UA"/>
        </w:rPr>
        <w:t>винекнення</w:t>
      </w:r>
      <w:proofErr w:type="spellEnd"/>
      <w:r w:rsidRPr="00E87F73">
        <w:rPr>
          <w:b/>
          <w:bCs/>
          <w:i/>
          <w:sz w:val="28"/>
          <w:szCs w:val="28"/>
          <w:lang w:val="uk-UA"/>
        </w:rPr>
        <w:t xml:space="preserve"> </w:t>
      </w:r>
      <w:proofErr w:type="spellStart"/>
      <w:r w:rsidRPr="00E87F73">
        <w:rPr>
          <w:b/>
          <w:bCs/>
          <w:i/>
          <w:sz w:val="28"/>
          <w:szCs w:val="28"/>
          <w:lang w:val="uk-UA"/>
        </w:rPr>
        <w:t>мобінгу</w:t>
      </w:r>
      <w:proofErr w:type="spellEnd"/>
      <w:r w:rsidRPr="00E87F73">
        <w:rPr>
          <w:b/>
          <w:bCs/>
          <w:i/>
          <w:sz w:val="28"/>
          <w:szCs w:val="28"/>
          <w:lang w:val="uk-UA"/>
        </w:rPr>
        <w:t xml:space="preserve"> можна поділити на зовнішні та внутрішні:</w:t>
      </w:r>
    </w:p>
    <w:p w:rsidR="00E87F73" w:rsidRPr="00E87F73" w:rsidRDefault="00E87F73" w:rsidP="00E87F73">
      <w:pPr>
        <w:numPr>
          <w:ilvl w:val="0"/>
          <w:numId w:val="3"/>
        </w:numPr>
        <w:spacing w:after="0" w:line="240" w:lineRule="auto"/>
        <w:ind w:left="-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F7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зовнішні</w:t>
      </w:r>
      <w:r w:rsidRPr="00E87F7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 причини «на рівні соціуму загалом і групи зокрема» –</w:t>
      </w:r>
      <w:r w:rsidRPr="00E87F73">
        <w:rPr>
          <w:rFonts w:ascii="Times New Roman" w:hAnsi="Times New Roman" w:cs="Times New Roman"/>
          <w:sz w:val="28"/>
          <w:szCs w:val="28"/>
          <w:lang w:val="uk-UA"/>
        </w:rPr>
        <w:t xml:space="preserve"> це причини пов‘язані з життєвим циклом колективу, законами існування груп, культурою, мораллю, тобто вони не залежать від індивідуальності особистості. Виділяються </w:t>
      </w:r>
      <w:r w:rsidRPr="00E87F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наступні зовнішні причини </w:t>
      </w:r>
      <w:proofErr w:type="spellStart"/>
      <w:r w:rsidRPr="00E87F73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Pr="00E87F73">
        <w:rPr>
          <w:rFonts w:ascii="Times New Roman" w:hAnsi="Times New Roman" w:cs="Times New Roman"/>
          <w:sz w:val="28"/>
          <w:szCs w:val="28"/>
          <w:lang w:val="uk-UA"/>
        </w:rPr>
        <w:t>: - розподіл статусів в колективі, - примітивні реакції у спілкуванні, - успадкований стадний інстинкт, - вікові особливості розвитку, - низька загальна культура і мораль, - відсутність реально діючого правового механізму тощо.</w:t>
      </w:r>
    </w:p>
    <w:p w:rsidR="00E87F73" w:rsidRPr="00E87F73" w:rsidRDefault="00E87F73" w:rsidP="00E87F73">
      <w:pPr>
        <w:numPr>
          <w:ilvl w:val="0"/>
          <w:numId w:val="3"/>
        </w:numPr>
        <w:spacing w:after="0" w:line="240" w:lineRule="auto"/>
        <w:ind w:left="-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F7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внутрішні</w:t>
      </w:r>
      <w:r w:rsidRPr="00E87F73">
        <w:rPr>
          <w:rFonts w:ascii="Times New Roman" w:hAnsi="Times New Roman" w:cs="Times New Roman"/>
          <w:b/>
          <w:bCs/>
          <w:sz w:val="28"/>
          <w:szCs w:val="28"/>
          <w:lang w:val="uk-UA"/>
        </w:rPr>
        <w:t> причини «на рівні особистості»</w:t>
      </w:r>
      <w:r w:rsidRPr="00E87F73">
        <w:rPr>
          <w:rFonts w:ascii="Times New Roman" w:hAnsi="Times New Roman" w:cs="Times New Roman"/>
          <w:sz w:val="28"/>
          <w:szCs w:val="28"/>
          <w:lang w:val="uk-UA"/>
        </w:rPr>
        <w:t xml:space="preserve"> – це причини, які зумовлені особливостями психіки, життєвого досвіду, світогляду, переконань окремого індивіда. Проте основну роль в появі </w:t>
      </w:r>
      <w:proofErr w:type="spellStart"/>
      <w:r w:rsidRPr="00E87F73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Pr="00E87F73">
        <w:rPr>
          <w:rFonts w:ascii="Times New Roman" w:hAnsi="Times New Roman" w:cs="Times New Roman"/>
          <w:sz w:val="28"/>
          <w:szCs w:val="28"/>
          <w:lang w:val="uk-UA"/>
        </w:rPr>
        <w:t xml:space="preserve"> відіграють внутрішні причини в той час як зовнішні лише сприяють процесу.</w:t>
      </w:r>
    </w:p>
    <w:p w:rsidR="00E87F73" w:rsidRPr="00E87F73" w:rsidRDefault="00E87F73" w:rsidP="00E87F73">
      <w:pPr>
        <w:pStyle w:val="2"/>
        <w:pBdr>
          <w:bottom w:val="single" w:sz="6" w:space="0" w:color="A2A9B1"/>
        </w:pBdr>
        <w:spacing w:before="0" w:beforeAutospacing="0" w:after="0" w:afterAutospacing="0"/>
        <w:ind w:left="-851" w:hanging="284"/>
        <w:jc w:val="both"/>
        <w:rPr>
          <w:bCs w:val="0"/>
          <w:i/>
          <w:sz w:val="28"/>
          <w:szCs w:val="28"/>
          <w:lang w:val="uk-UA"/>
        </w:rPr>
      </w:pPr>
      <w:r w:rsidRPr="00E87F73">
        <w:rPr>
          <w:rStyle w:val="mw-headline"/>
          <w:bCs w:val="0"/>
          <w:i/>
          <w:sz w:val="28"/>
          <w:szCs w:val="28"/>
          <w:lang w:val="uk-UA"/>
        </w:rPr>
        <w:t xml:space="preserve">Форми </w:t>
      </w:r>
      <w:proofErr w:type="spellStart"/>
      <w:r w:rsidRPr="00E87F73">
        <w:rPr>
          <w:rStyle w:val="mw-headline"/>
          <w:bCs w:val="0"/>
          <w:i/>
          <w:sz w:val="28"/>
          <w:szCs w:val="28"/>
          <w:lang w:val="uk-UA"/>
        </w:rPr>
        <w:t>мобінгу</w:t>
      </w:r>
      <w:proofErr w:type="spellEnd"/>
      <w:r w:rsidRPr="00E87F73">
        <w:rPr>
          <w:rStyle w:val="mw-headline"/>
          <w:bCs w:val="0"/>
          <w:i/>
          <w:sz w:val="28"/>
          <w:szCs w:val="28"/>
          <w:lang w:val="uk-UA"/>
        </w:rPr>
        <w:t xml:space="preserve"> та способи його прояву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b/>
          <w:bCs/>
          <w:sz w:val="28"/>
          <w:szCs w:val="28"/>
          <w:lang w:val="uk-UA"/>
        </w:rPr>
        <w:t xml:space="preserve">За загальним правилом </w:t>
      </w:r>
      <w:proofErr w:type="spellStart"/>
      <w:r w:rsidRPr="00E87F73">
        <w:rPr>
          <w:b/>
          <w:bCs/>
          <w:sz w:val="28"/>
          <w:szCs w:val="28"/>
          <w:lang w:val="uk-UA"/>
        </w:rPr>
        <w:t>мобінг</w:t>
      </w:r>
      <w:proofErr w:type="spellEnd"/>
      <w:r w:rsidRPr="00E87F73">
        <w:rPr>
          <w:b/>
          <w:bCs/>
          <w:sz w:val="28"/>
          <w:szCs w:val="28"/>
          <w:lang w:val="uk-UA"/>
        </w:rPr>
        <w:t xml:space="preserve"> може набувати таких форм: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sz w:val="28"/>
          <w:szCs w:val="28"/>
          <w:lang w:val="uk-UA"/>
        </w:rPr>
        <w:t>– </w:t>
      </w:r>
      <w:r w:rsidRPr="00E87F73">
        <w:rPr>
          <w:b/>
          <w:bCs/>
          <w:sz w:val="28"/>
          <w:szCs w:val="28"/>
          <w:lang w:val="uk-UA"/>
        </w:rPr>
        <w:t>авторитарний мобінг</w:t>
      </w:r>
      <w:r w:rsidRPr="00E87F73">
        <w:rPr>
          <w:sz w:val="28"/>
          <w:szCs w:val="28"/>
          <w:lang w:val="uk-UA"/>
        </w:rPr>
        <w:t> – здійснюється з боку начальника, який застосовує деструктивний стиль керування;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sz w:val="28"/>
          <w:szCs w:val="28"/>
          <w:lang w:val="uk-UA"/>
        </w:rPr>
        <w:t>– </w:t>
      </w:r>
      <w:r w:rsidRPr="00E87F73">
        <w:rPr>
          <w:b/>
          <w:bCs/>
          <w:sz w:val="28"/>
          <w:szCs w:val="28"/>
          <w:lang w:val="uk-UA"/>
        </w:rPr>
        <w:t>зміщений мобінг</w:t>
      </w:r>
      <w:r w:rsidRPr="00E87F73">
        <w:rPr>
          <w:sz w:val="28"/>
          <w:szCs w:val="28"/>
          <w:lang w:val="uk-UA"/>
        </w:rPr>
        <w:t> – агресія спрямовується на третю особу, оскільки прояв її по відношенню до справжнього джерела є занадто небезпечним, а рівень розчарування ситуацією перейшов допустимі межі і рамки боротьби з проблемою, може бути реакцією на авторитарне знущання;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proofErr w:type="spellStart"/>
      <w:r w:rsidRPr="00E87F73">
        <w:rPr>
          <w:sz w:val="28"/>
          <w:szCs w:val="28"/>
          <w:lang w:val="uk-UA"/>
        </w:rPr>
        <w:t>– </w:t>
      </w:r>
      <w:r w:rsidRPr="00E87F73">
        <w:rPr>
          <w:b/>
          <w:bCs/>
          <w:sz w:val="28"/>
          <w:szCs w:val="28"/>
          <w:lang w:val="uk-UA"/>
        </w:rPr>
        <w:t>мобі</w:t>
      </w:r>
      <w:proofErr w:type="spellEnd"/>
      <w:r w:rsidRPr="00E87F73">
        <w:rPr>
          <w:b/>
          <w:bCs/>
          <w:sz w:val="28"/>
          <w:szCs w:val="28"/>
          <w:lang w:val="uk-UA"/>
        </w:rPr>
        <w:t>нг «посвяти»</w:t>
      </w:r>
      <w:r w:rsidRPr="00E87F73">
        <w:rPr>
          <w:sz w:val="28"/>
          <w:szCs w:val="28"/>
          <w:lang w:val="uk-UA"/>
        </w:rPr>
        <w:t> – маємо справу з ним в ситуації, коли в колективі з‘являються нові члени, які піддаються спробам «тестуванню» старшими стажем;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sz w:val="28"/>
          <w:szCs w:val="28"/>
          <w:lang w:val="uk-UA"/>
        </w:rPr>
        <w:t>– </w:t>
      </w:r>
      <w:r w:rsidRPr="00E87F73">
        <w:rPr>
          <w:b/>
          <w:bCs/>
          <w:sz w:val="28"/>
          <w:szCs w:val="28"/>
          <w:lang w:val="uk-UA"/>
        </w:rPr>
        <w:t>дискримінаційний мобінг</w:t>
      </w:r>
      <w:r w:rsidRPr="00E87F73">
        <w:rPr>
          <w:sz w:val="28"/>
          <w:szCs w:val="28"/>
          <w:lang w:val="uk-UA"/>
        </w:rPr>
        <w:t> – його жертвою стають особи, які відрізняються від загального колективу з точки зору цінностей важливих для його членів або особи, які не схвалюють встановлених в колективі норм;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proofErr w:type="spellStart"/>
      <w:r w:rsidRPr="00E87F73">
        <w:rPr>
          <w:sz w:val="28"/>
          <w:szCs w:val="28"/>
          <w:lang w:val="uk-UA"/>
        </w:rPr>
        <w:t>– </w:t>
      </w:r>
      <w:r w:rsidRPr="00E87F73">
        <w:rPr>
          <w:b/>
          <w:bCs/>
          <w:sz w:val="28"/>
          <w:szCs w:val="28"/>
          <w:lang w:val="uk-UA"/>
        </w:rPr>
        <w:t>десигналізаційн</w:t>
      </w:r>
      <w:proofErr w:type="spellEnd"/>
      <w:r w:rsidRPr="00E87F73">
        <w:rPr>
          <w:b/>
          <w:bCs/>
          <w:sz w:val="28"/>
          <w:szCs w:val="28"/>
          <w:lang w:val="uk-UA"/>
        </w:rPr>
        <w:t>ий мобінг</w:t>
      </w:r>
      <w:r w:rsidRPr="00E87F73">
        <w:rPr>
          <w:sz w:val="28"/>
          <w:szCs w:val="28"/>
          <w:lang w:val="uk-UA"/>
        </w:rPr>
        <w:t> – різновид дискримінаційного, застосовуваний по відношенню до особи, яка виявила негативні факти про своїх колег, інформуючи про них всередині організації (тобто керівників) або її оточення, за що у формі знущань отримує «покарання» від співпрацівників;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sz w:val="28"/>
          <w:szCs w:val="28"/>
          <w:lang w:val="uk-UA"/>
        </w:rPr>
        <w:t>– </w:t>
      </w:r>
      <w:r w:rsidRPr="00E87F73">
        <w:rPr>
          <w:b/>
          <w:bCs/>
          <w:sz w:val="28"/>
          <w:szCs w:val="28"/>
          <w:lang w:val="uk-UA"/>
        </w:rPr>
        <w:t>сексуальний мобінг</w:t>
      </w:r>
      <w:r w:rsidRPr="00E87F73">
        <w:rPr>
          <w:sz w:val="28"/>
          <w:szCs w:val="28"/>
          <w:lang w:val="uk-UA"/>
        </w:rPr>
        <w:t xml:space="preserve"> – сексуальне домагання є особливою формою даного явища, а в випадку групи може бути різновидом дискримінаційного </w:t>
      </w:r>
      <w:proofErr w:type="spellStart"/>
      <w:r w:rsidRPr="00E87F73">
        <w:rPr>
          <w:sz w:val="28"/>
          <w:szCs w:val="28"/>
          <w:lang w:val="uk-UA"/>
        </w:rPr>
        <w:t>мобінгу</w:t>
      </w:r>
      <w:proofErr w:type="spellEnd"/>
      <w:r w:rsidRPr="00E87F73">
        <w:rPr>
          <w:sz w:val="28"/>
          <w:szCs w:val="28"/>
          <w:lang w:val="uk-UA"/>
        </w:rPr>
        <w:t>, де проявлення зацікавленості протилежною статтю або тією самою, залежно від преференції, не зустрічається схваленням;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sz w:val="28"/>
          <w:szCs w:val="28"/>
          <w:lang w:val="uk-UA"/>
        </w:rPr>
        <w:t>– </w:t>
      </w:r>
      <w:r w:rsidRPr="00E87F73">
        <w:rPr>
          <w:b/>
          <w:bCs/>
          <w:sz w:val="28"/>
          <w:szCs w:val="28"/>
          <w:lang w:val="uk-UA"/>
        </w:rPr>
        <w:t>відбірковий мобінг</w:t>
      </w:r>
      <w:r w:rsidRPr="00E87F73">
        <w:rPr>
          <w:sz w:val="28"/>
          <w:szCs w:val="28"/>
          <w:lang w:val="uk-UA"/>
        </w:rPr>
        <w:t> – його метою є позбавлення даної особи з групи, дії стають щораз жорстокішими, поки мета не буде досягнута. Слід звернути увагу, що три вище згадані форми: «посвяти», дискримінаційний і відбірковий пов‘язані з етапами переходу працівника через організацію: вхід-трансфер-вихід, а головною метою кожного з них є нав‘язування працівнику правил поведінки даної групи і примус виконання існуючих всередині норм.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b/>
          <w:bCs/>
          <w:sz w:val="28"/>
          <w:szCs w:val="28"/>
          <w:lang w:val="uk-UA"/>
        </w:rPr>
        <w:t>В свою чергу відповідно до </w:t>
      </w:r>
      <w:hyperlink r:id="rId16" w:anchor="Text" w:history="1">
        <w:r w:rsidRPr="00E87F73">
          <w:rPr>
            <w:rStyle w:val="a3"/>
            <w:b/>
            <w:bCs/>
            <w:color w:val="auto"/>
            <w:sz w:val="28"/>
            <w:szCs w:val="28"/>
            <w:lang w:val="uk-UA"/>
          </w:rPr>
          <w:t xml:space="preserve">Закону України "Про внесення змін до деяких законодавчих актів України щодо запобігання та протидії </w:t>
        </w:r>
        <w:proofErr w:type="spellStart"/>
        <w:r w:rsidRPr="00E87F73">
          <w:rPr>
            <w:rStyle w:val="a3"/>
            <w:b/>
            <w:bCs/>
            <w:color w:val="auto"/>
            <w:sz w:val="28"/>
            <w:szCs w:val="28"/>
            <w:lang w:val="uk-UA"/>
          </w:rPr>
          <w:t>мобінгу</w:t>
        </w:r>
        <w:proofErr w:type="spellEnd"/>
        <w:r w:rsidRPr="00E87F73">
          <w:rPr>
            <w:rStyle w:val="a3"/>
            <w:b/>
            <w:bCs/>
            <w:color w:val="auto"/>
            <w:sz w:val="28"/>
            <w:szCs w:val="28"/>
            <w:lang w:val="uk-UA"/>
          </w:rPr>
          <w:t xml:space="preserve"> (цькуванню)</w:t>
        </w:r>
      </w:hyperlink>
      <w:r w:rsidRPr="00E87F73">
        <w:rPr>
          <w:b/>
          <w:bCs/>
          <w:sz w:val="28"/>
          <w:szCs w:val="28"/>
          <w:lang w:val="uk-UA"/>
        </w:rPr>
        <w:t>" та статті 2-2 </w:t>
      </w:r>
      <w:hyperlink r:id="rId17" w:anchor="Text" w:history="1">
        <w:r w:rsidRPr="00E87F73">
          <w:rPr>
            <w:rStyle w:val="a3"/>
            <w:b/>
            <w:bCs/>
            <w:color w:val="auto"/>
            <w:sz w:val="28"/>
            <w:szCs w:val="28"/>
            <w:lang w:val="uk-UA"/>
          </w:rPr>
          <w:t>КзпП України</w:t>
        </w:r>
      </w:hyperlink>
      <w:r w:rsidRPr="00E87F73">
        <w:rPr>
          <w:b/>
          <w:bCs/>
          <w:sz w:val="28"/>
          <w:szCs w:val="28"/>
          <w:lang w:val="uk-UA"/>
        </w:rPr>
        <w:t xml:space="preserve"> формами прояву </w:t>
      </w:r>
      <w:proofErr w:type="spellStart"/>
      <w:r w:rsidRPr="00E87F73">
        <w:rPr>
          <w:b/>
          <w:bCs/>
          <w:sz w:val="28"/>
          <w:szCs w:val="28"/>
          <w:lang w:val="uk-UA"/>
        </w:rPr>
        <w:t>мобінгу</w:t>
      </w:r>
      <w:proofErr w:type="spellEnd"/>
      <w:r w:rsidRPr="00E87F73">
        <w:rPr>
          <w:b/>
          <w:bCs/>
          <w:sz w:val="28"/>
          <w:szCs w:val="28"/>
          <w:lang w:val="uk-UA"/>
        </w:rPr>
        <w:t xml:space="preserve"> є: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b/>
          <w:bCs/>
          <w:i/>
          <w:iCs/>
          <w:sz w:val="28"/>
          <w:szCs w:val="28"/>
          <w:lang w:val="uk-UA"/>
        </w:rPr>
        <w:t>- Психологічний утиск;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b/>
          <w:bCs/>
          <w:i/>
          <w:iCs/>
          <w:sz w:val="28"/>
          <w:szCs w:val="28"/>
          <w:lang w:val="uk-UA"/>
        </w:rPr>
        <w:t>- Економічний утиск.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i/>
          <w:sz w:val="28"/>
          <w:szCs w:val="28"/>
          <w:lang w:val="uk-UA"/>
        </w:rPr>
      </w:pPr>
      <w:r w:rsidRPr="00E87F73">
        <w:rPr>
          <w:b/>
          <w:bCs/>
          <w:i/>
          <w:sz w:val="28"/>
          <w:szCs w:val="28"/>
          <w:lang w:val="uk-UA"/>
        </w:rPr>
        <w:t xml:space="preserve">За способами прояву </w:t>
      </w:r>
      <w:proofErr w:type="spellStart"/>
      <w:r w:rsidRPr="00E87F73">
        <w:rPr>
          <w:b/>
          <w:bCs/>
          <w:i/>
          <w:sz w:val="28"/>
          <w:szCs w:val="28"/>
          <w:lang w:val="uk-UA"/>
        </w:rPr>
        <w:t>мобінг</w:t>
      </w:r>
      <w:proofErr w:type="spellEnd"/>
      <w:r w:rsidRPr="00E87F73">
        <w:rPr>
          <w:b/>
          <w:bCs/>
          <w:i/>
          <w:sz w:val="28"/>
          <w:szCs w:val="28"/>
          <w:lang w:val="uk-UA"/>
        </w:rPr>
        <w:t>(цькування) встановлюється наступним чином:</w:t>
      </w:r>
    </w:p>
    <w:p w:rsidR="00E87F73" w:rsidRPr="00E87F73" w:rsidRDefault="00E87F73" w:rsidP="00E87F73">
      <w:pPr>
        <w:numPr>
          <w:ilvl w:val="0"/>
          <w:numId w:val="4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F73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стосовно працівника напруженої, ворожої, образливої атмосфери (погрози, висміювання, наклепи, зневажливі зауваження, поведінка загрозливого, </w:t>
      </w:r>
      <w:proofErr w:type="spellStart"/>
      <w:r w:rsidRPr="00E87F73">
        <w:rPr>
          <w:rFonts w:ascii="Times New Roman" w:hAnsi="Times New Roman" w:cs="Times New Roman"/>
          <w:sz w:val="28"/>
          <w:szCs w:val="28"/>
          <w:lang w:val="uk-UA"/>
        </w:rPr>
        <w:t>залякуючого</w:t>
      </w:r>
      <w:proofErr w:type="spellEnd"/>
      <w:r w:rsidRPr="00E87F73">
        <w:rPr>
          <w:rFonts w:ascii="Times New Roman" w:hAnsi="Times New Roman" w:cs="Times New Roman"/>
          <w:sz w:val="28"/>
          <w:szCs w:val="28"/>
          <w:lang w:val="uk-UA"/>
        </w:rPr>
        <w:t>, принизливого характеру та інші способи виведення працівника із психологічної рівноваги);</w:t>
      </w:r>
    </w:p>
    <w:p w:rsidR="00E87F73" w:rsidRPr="00E87F73" w:rsidRDefault="00E87F73" w:rsidP="00E87F73">
      <w:pPr>
        <w:numPr>
          <w:ilvl w:val="0"/>
          <w:numId w:val="4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F73">
        <w:rPr>
          <w:rFonts w:ascii="Times New Roman" w:hAnsi="Times New Roman" w:cs="Times New Roman"/>
          <w:sz w:val="28"/>
          <w:szCs w:val="28"/>
          <w:lang w:val="uk-UA"/>
        </w:rPr>
        <w:t>Безпідставне негативне виокремлення працівника з колективу або його ізоляція (</w:t>
      </w:r>
      <w:proofErr w:type="spellStart"/>
      <w:r w:rsidRPr="00E87F73">
        <w:rPr>
          <w:rFonts w:ascii="Times New Roman" w:hAnsi="Times New Roman" w:cs="Times New Roman"/>
          <w:sz w:val="28"/>
          <w:szCs w:val="28"/>
          <w:lang w:val="uk-UA"/>
        </w:rPr>
        <w:t>незапрошення</w:t>
      </w:r>
      <w:proofErr w:type="spellEnd"/>
      <w:r w:rsidRPr="00E87F73">
        <w:rPr>
          <w:rFonts w:ascii="Times New Roman" w:hAnsi="Times New Roman" w:cs="Times New Roman"/>
          <w:sz w:val="28"/>
          <w:szCs w:val="28"/>
          <w:lang w:val="uk-UA"/>
        </w:rPr>
        <w:t xml:space="preserve"> на зустрічі і наради, в яких працівник, відповідно до локальних нормативних актів та організаційно-розпорядчих актів має брати участь, перешкоджання виконанню ним своєї трудової функції, недопущення працівника </w:t>
      </w:r>
      <w:r w:rsidRPr="00E87F7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робоче місце, перенесення робочого місця в непристосовані для цього виду роботи місця);</w:t>
      </w:r>
    </w:p>
    <w:p w:rsidR="00E87F73" w:rsidRPr="00E87F73" w:rsidRDefault="00E87F73" w:rsidP="00E87F73">
      <w:pPr>
        <w:numPr>
          <w:ilvl w:val="0"/>
          <w:numId w:val="4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F73">
        <w:rPr>
          <w:rFonts w:ascii="Times New Roman" w:hAnsi="Times New Roman" w:cs="Times New Roman"/>
          <w:sz w:val="28"/>
          <w:szCs w:val="28"/>
          <w:lang w:val="uk-UA"/>
        </w:rPr>
        <w:t>Нерівність можливостей для навчання та кар’єрного росту;</w:t>
      </w:r>
    </w:p>
    <w:p w:rsidR="00E87F73" w:rsidRPr="00E87F73" w:rsidRDefault="00E87F73" w:rsidP="00E87F73">
      <w:pPr>
        <w:numPr>
          <w:ilvl w:val="0"/>
          <w:numId w:val="4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F73">
        <w:rPr>
          <w:rFonts w:ascii="Times New Roman" w:hAnsi="Times New Roman" w:cs="Times New Roman"/>
          <w:sz w:val="28"/>
          <w:szCs w:val="28"/>
          <w:lang w:val="uk-UA"/>
        </w:rPr>
        <w:t>Нерівна оплата за працю рівної цінності, яка виконується працівниками однакової кваліфікації;</w:t>
      </w:r>
    </w:p>
    <w:p w:rsidR="00E87F73" w:rsidRPr="00E87F73" w:rsidRDefault="00E87F73" w:rsidP="00E87F73">
      <w:pPr>
        <w:numPr>
          <w:ilvl w:val="0"/>
          <w:numId w:val="4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F73">
        <w:rPr>
          <w:rFonts w:ascii="Times New Roman" w:hAnsi="Times New Roman" w:cs="Times New Roman"/>
          <w:sz w:val="28"/>
          <w:szCs w:val="28"/>
          <w:lang w:val="uk-UA"/>
        </w:rPr>
        <w:t>Безпідставне позбавлення працівника частини виплат (премій, бонусів та інших заохочень);</w:t>
      </w:r>
    </w:p>
    <w:p w:rsidR="00E87F73" w:rsidRPr="00E87F73" w:rsidRDefault="00E87F73" w:rsidP="00E87F73">
      <w:pPr>
        <w:numPr>
          <w:ilvl w:val="0"/>
          <w:numId w:val="4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F73">
        <w:rPr>
          <w:rFonts w:ascii="Times New Roman" w:hAnsi="Times New Roman" w:cs="Times New Roman"/>
          <w:sz w:val="28"/>
          <w:szCs w:val="28"/>
          <w:lang w:val="uk-UA"/>
        </w:rPr>
        <w:t>Необґрунтований нерівномірний розподіл роботодавцем навантаження і завдань між працівниками з однаковою кваліфікацією та продуктивністю праці, які виконують рівноцінну роботу.</w:t>
      </w:r>
    </w:p>
    <w:p w:rsidR="00E87F73" w:rsidRPr="00E87F73" w:rsidRDefault="00E87F73" w:rsidP="00E87F73">
      <w:pPr>
        <w:numPr>
          <w:ilvl w:val="0"/>
          <w:numId w:val="4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F73">
        <w:rPr>
          <w:rFonts w:ascii="Times New Roman" w:hAnsi="Times New Roman" w:cs="Times New Roman"/>
          <w:sz w:val="28"/>
          <w:szCs w:val="28"/>
          <w:lang w:val="uk-UA"/>
        </w:rPr>
        <w:t xml:space="preserve">Вимоги роботодавця щодо належного виконання працівником трудових обов’язків, зміна робочого місця, посади працівника або розміру оплати праці в порядку, встановленому законодавством, колективним або трудовим договором, не вважаються </w:t>
      </w:r>
      <w:proofErr w:type="spellStart"/>
      <w:r w:rsidRPr="00E87F73">
        <w:rPr>
          <w:rFonts w:ascii="Times New Roman" w:hAnsi="Times New Roman" w:cs="Times New Roman"/>
          <w:sz w:val="28"/>
          <w:szCs w:val="28"/>
          <w:lang w:val="uk-UA"/>
        </w:rPr>
        <w:t>мобінгом</w:t>
      </w:r>
      <w:proofErr w:type="spellEnd"/>
      <w:r w:rsidRPr="00E87F73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(цькуванням).</w:t>
      </w:r>
    </w:p>
    <w:p w:rsidR="00E87F73" w:rsidRPr="00E87F73" w:rsidRDefault="00E87F73" w:rsidP="00E87F73">
      <w:pPr>
        <w:pStyle w:val="2"/>
        <w:pBdr>
          <w:bottom w:val="single" w:sz="6" w:space="0" w:color="A2A9B1"/>
        </w:pBdr>
        <w:spacing w:before="0" w:beforeAutospacing="0" w:after="0" w:afterAutospacing="0"/>
        <w:ind w:left="-851"/>
        <w:jc w:val="both"/>
        <w:rPr>
          <w:b w:val="0"/>
          <w:bCs w:val="0"/>
          <w:sz w:val="28"/>
          <w:szCs w:val="28"/>
          <w:lang w:val="uk-UA"/>
        </w:rPr>
      </w:pPr>
      <w:r w:rsidRPr="00E87F73">
        <w:rPr>
          <w:rStyle w:val="mw-headline"/>
          <w:b w:val="0"/>
          <w:bCs w:val="0"/>
          <w:sz w:val="28"/>
          <w:szCs w:val="28"/>
          <w:lang w:val="uk-UA"/>
        </w:rPr>
        <w:t xml:space="preserve">Права постраждалих від цькування та юридичні наслідки за вчинення </w:t>
      </w:r>
      <w:proofErr w:type="spellStart"/>
      <w:r w:rsidRPr="00E87F73">
        <w:rPr>
          <w:rStyle w:val="mw-headline"/>
          <w:b w:val="0"/>
          <w:bCs w:val="0"/>
          <w:sz w:val="28"/>
          <w:szCs w:val="28"/>
          <w:lang w:val="uk-UA"/>
        </w:rPr>
        <w:t>мобінгу</w:t>
      </w:r>
      <w:proofErr w:type="spellEnd"/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sz w:val="28"/>
          <w:szCs w:val="28"/>
          <w:lang w:val="uk-UA"/>
        </w:rPr>
        <w:t>В свою чергу працівникові, який став жертвою утисків під час виконання трудових обов'язків відповідно до положень статті 5-1 </w:t>
      </w:r>
      <w:hyperlink r:id="rId18" w:anchor="Text" w:history="1">
        <w:r w:rsidRPr="00E87F73">
          <w:rPr>
            <w:rStyle w:val="a3"/>
            <w:color w:val="auto"/>
            <w:sz w:val="28"/>
            <w:szCs w:val="28"/>
            <w:lang w:val="uk-UA"/>
          </w:rPr>
          <w:t>КзпП України</w:t>
        </w:r>
      </w:hyperlink>
      <w:r w:rsidRPr="00E87F73">
        <w:rPr>
          <w:sz w:val="28"/>
          <w:szCs w:val="28"/>
          <w:lang w:val="uk-UA"/>
        </w:rPr>
        <w:t xml:space="preserve"> гарантовано правовий захист від </w:t>
      </w:r>
      <w:proofErr w:type="spellStart"/>
      <w:r w:rsidRPr="00E87F73">
        <w:rPr>
          <w:sz w:val="28"/>
          <w:szCs w:val="28"/>
          <w:lang w:val="uk-UA"/>
        </w:rPr>
        <w:t>мобінгу</w:t>
      </w:r>
      <w:proofErr w:type="spellEnd"/>
      <w:r w:rsidRPr="00E87F73">
        <w:rPr>
          <w:sz w:val="28"/>
          <w:szCs w:val="28"/>
          <w:lang w:val="uk-UA"/>
        </w:rPr>
        <w:t xml:space="preserve"> (цькування), дискримінації, упередженого ставлення у сфері праці, захист честі та гідності працівника під час здійснення ним трудової діяльності, а також забезпечення особам, які зазнали таких дій та/або бездіяльності, права на звернення за захистом своїх прав.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i/>
          <w:sz w:val="28"/>
          <w:szCs w:val="28"/>
          <w:lang w:val="uk-UA"/>
        </w:rPr>
      </w:pPr>
      <w:r w:rsidRPr="00E87F73">
        <w:rPr>
          <w:b/>
          <w:bCs/>
          <w:i/>
          <w:sz w:val="28"/>
          <w:szCs w:val="28"/>
          <w:lang w:val="uk-UA"/>
        </w:rPr>
        <w:t xml:space="preserve">У разі вчинення </w:t>
      </w:r>
      <w:proofErr w:type="spellStart"/>
      <w:r w:rsidRPr="00E87F73">
        <w:rPr>
          <w:b/>
          <w:bCs/>
          <w:i/>
          <w:sz w:val="28"/>
          <w:szCs w:val="28"/>
          <w:lang w:val="uk-UA"/>
        </w:rPr>
        <w:t>мобінгу</w:t>
      </w:r>
      <w:proofErr w:type="spellEnd"/>
      <w:r w:rsidRPr="00E87F73">
        <w:rPr>
          <w:b/>
          <w:bCs/>
          <w:i/>
          <w:sz w:val="28"/>
          <w:szCs w:val="28"/>
          <w:lang w:val="uk-UA"/>
        </w:rPr>
        <w:t xml:space="preserve"> працівник має право: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i/>
          <w:iCs/>
          <w:sz w:val="28"/>
          <w:szCs w:val="28"/>
          <w:lang w:val="uk-UA"/>
        </w:rPr>
        <w:t>1. Звернутись з скаргою до Управління Державної служби з питань праці, яке реалізує державну політику у сфері нагляду та контролю за додержанням законодавства про працю.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i/>
          <w:iCs/>
          <w:sz w:val="28"/>
          <w:szCs w:val="28"/>
          <w:lang w:val="uk-UA"/>
        </w:rPr>
        <w:t>2. Звернутись з позовною заявою до суду щодо визнання фактів цькування та їх усунення (без подальшого припинення працівником трудової діяльності на період розгляду провадження у справі).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i/>
          <w:iCs/>
          <w:sz w:val="28"/>
          <w:szCs w:val="28"/>
          <w:lang w:val="uk-UA"/>
        </w:rPr>
        <w:t xml:space="preserve">3. Отримати відшкодування шкоди, заподіяної внаслідок </w:t>
      </w:r>
      <w:proofErr w:type="spellStart"/>
      <w:r w:rsidRPr="00E87F73">
        <w:rPr>
          <w:i/>
          <w:iCs/>
          <w:sz w:val="28"/>
          <w:szCs w:val="28"/>
          <w:lang w:val="uk-UA"/>
        </w:rPr>
        <w:t>мобінгу</w:t>
      </w:r>
      <w:proofErr w:type="spellEnd"/>
      <w:r w:rsidRPr="00E87F73">
        <w:rPr>
          <w:i/>
          <w:iCs/>
          <w:sz w:val="28"/>
          <w:szCs w:val="28"/>
          <w:lang w:val="uk-UA"/>
        </w:rPr>
        <w:t xml:space="preserve"> у розмірі витрат, які понесла особа під час лікування.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b/>
          <w:bCs/>
          <w:i/>
          <w:iCs/>
          <w:sz w:val="28"/>
          <w:szCs w:val="28"/>
          <w:lang w:val="uk-UA"/>
        </w:rPr>
        <w:t>Увага</w:t>
      </w:r>
      <w:r w:rsidRPr="00E87F73">
        <w:rPr>
          <w:b/>
          <w:bCs/>
          <w:sz w:val="28"/>
          <w:szCs w:val="28"/>
          <w:lang w:val="uk-UA"/>
        </w:rPr>
        <w:t>! в</w:t>
      </w:r>
      <w:r w:rsidRPr="00E87F73">
        <w:rPr>
          <w:b/>
          <w:bCs/>
          <w:i/>
          <w:iCs/>
          <w:sz w:val="28"/>
          <w:szCs w:val="28"/>
          <w:lang w:val="uk-UA"/>
        </w:rPr>
        <w:t xml:space="preserve">ідшкодування шкоди, заподіяної внаслідок заподіяння </w:t>
      </w:r>
      <w:proofErr w:type="spellStart"/>
      <w:r w:rsidRPr="00E87F73">
        <w:rPr>
          <w:b/>
          <w:bCs/>
          <w:i/>
          <w:iCs/>
          <w:sz w:val="28"/>
          <w:szCs w:val="28"/>
          <w:lang w:val="uk-UA"/>
        </w:rPr>
        <w:t>мобінгу</w:t>
      </w:r>
      <w:proofErr w:type="spellEnd"/>
      <w:r w:rsidRPr="00E87F73">
        <w:rPr>
          <w:b/>
          <w:bCs/>
          <w:i/>
          <w:iCs/>
          <w:sz w:val="28"/>
          <w:szCs w:val="28"/>
          <w:lang w:val="uk-UA"/>
        </w:rPr>
        <w:t xml:space="preserve"> можливе у разі підтвердження факту його вчинення на підставі судового рішення, що набрало законної сили.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i/>
          <w:iCs/>
          <w:sz w:val="28"/>
          <w:szCs w:val="28"/>
          <w:lang w:val="uk-UA"/>
        </w:rPr>
        <w:t xml:space="preserve">4. Розірвати трудовий договір у визначений ним строк розірвати трудовий за власним бажанням, якщо роботодавець не виконує законодавство про працю, умови колективного чи трудового договору та продовжує чинити </w:t>
      </w:r>
      <w:proofErr w:type="spellStart"/>
      <w:r w:rsidRPr="00E87F73">
        <w:rPr>
          <w:i/>
          <w:iCs/>
          <w:sz w:val="28"/>
          <w:szCs w:val="28"/>
          <w:lang w:val="uk-UA"/>
        </w:rPr>
        <w:t>мобінг</w:t>
      </w:r>
      <w:proofErr w:type="spellEnd"/>
      <w:r w:rsidRPr="00E87F73">
        <w:rPr>
          <w:i/>
          <w:iCs/>
          <w:sz w:val="28"/>
          <w:szCs w:val="28"/>
          <w:lang w:val="uk-UA"/>
        </w:rPr>
        <w:t>.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sz w:val="28"/>
          <w:szCs w:val="28"/>
          <w:lang w:val="uk-UA"/>
        </w:rPr>
        <w:t xml:space="preserve">В яких би формах не проявлялись наслідки </w:t>
      </w:r>
      <w:proofErr w:type="spellStart"/>
      <w:r w:rsidRPr="00E87F73">
        <w:rPr>
          <w:sz w:val="28"/>
          <w:szCs w:val="28"/>
          <w:lang w:val="uk-UA"/>
        </w:rPr>
        <w:t>мобінгу</w:t>
      </w:r>
      <w:proofErr w:type="spellEnd"/>
      <w:r w:rsidRPr="00E87F73">
        <w:rPr>
          <w:sz w:val="28"/>
          <w:szCs w:val="28"/>
          <w:lang w:val="uk-UA"/>
        </w:rPr>
        <w:t>, вони є тяжкими як для самого працівника, так і для колективу і підприємства в цілому як в психологічному аспекті так і в юридичному. Серед наслідків психологічного переслідування, що відображаються на людині, (зростання незадоволення, знервованості чи байдужості; часте порушення працівником встановлених правил, або занадто строге слідування їм; зниження працездатності; часті випадки стресових ситуацій та ослаблення імунітету на стрес, часом з травматичними нервовими кризами; фізіологічні патології) матеріальні збитки, які особа несе за лікування та відновлення особистого пошкодженого майна.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i/>
          <w:sz w:val="28"/>
          <w:szCs w:val="28"/>
          <w:lang w:val="uk-UA"/>
        </w:rPr>
      </w:pPr>
      <w:r w:rsidRPr="00E87F73">
        <w:rPr>
          <w:b/>
          <w:bCs/>
          <w:i/>
          <w:sz w:val="28"/>
          <w:szCs w:val="28"/>
          <w:lang w:val="uk-UA"/>
        </w:rPr>
        <w:t>Психологічні наслідки, що відображаються на трудовому колективу в цілому</w:t>
      </w:r>
      <w:r w:rsidRPr="00E87F73">
        <w:rPr>
          <w:i/>
          <w:iCs/>
          <w:sz w:val="28"/>
          <w:szCs w:val="28"/>
          <w:lang w:val="uk-UA"/>
        </w:rPr>
        <w:t>: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sz w:val="28"/>
          <w:szCs w:val="28"/>
          <w:lang w:val="uk-UA"/>
        </w:rPr>
        <w:t>– зниження ефективності і продуктивності праці;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sz w:val="28"/>
          <w:szCs w:val="28"/>
          <w:lang w:val="uk-UA"/>
        </w:rPr>
        <w:t xml:space="preserve">– не </w:t>
      </w:r>
      <w:proofErr w:type="spellStart"/>
      <w:r w:rsidRPr="00E87F73">
        <w:rPr>
          <w:sz w:val="28"/>
          <w:szCs w:val="28"/>
          <w:lang w:val="uk-UA"/>
        </w:rPr>
        <w:t>поважаються</w:t>
      </w:r>
      <w:proofErr w:type="spellEnd"/>
      <w:r w:rsidRPr="00E87F73">
        <w:rPr>
          <w:sz w:val="28"/>
          <w:szCs w:val="28"/>
          <w:lang w:val="uk-UA"/>
        </w:rPr>
        <w:t xml:space="preserve"> правила, які встановлені на підприємстві, та зростає критика щодо роботодавця та керівників;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sz w:val="28"/>
          <w:szCs w:val="28"/>
          <w:lang w:val="uk-UA"/>
        </w:rPr>
        <w:lastRenderedPageBreak/>
        <w:t>– відбувається поступовий, але неухильний спад довіри між колегами та до керівництва, знижується почуття безпеки;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sz w:val="28"/>
          <w:szCs w:val="28"/>
          <w:lang w:val="uk-UA"/>
        </w:rPr>
        <w:t>– збільшується кількість випадків відсутності працівників на роботі через хвороби та відпустки за свій рахунок;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sz w:val="28"/>
          <w:szCs w:val="28"/>
          <w:lang w:val="uk-UA"/>
        </w:rPr>
        <w:t>– часті звільнення призводять до відтоку професіоналів, зростає загроза плину кадрів;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sz w:val="28"/>
          <w:szCs w:val="28"/>
          <w:lang w:val="uk-UA"/>
        </w:rPr>
        <w:t>– спадає імунітет до стресу та погіршуються симптоми незадоволення;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sz w:val="28"/>
          <w:szCs w:val="28"/>
          <w:lang w:val="uk-UA"/>
        </w:rPr>
        <w:t>– встановлюється чітка тенденція бачити великі проблеми там, де їх немає, тобто «робити з мухи слона»;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sz w:val="28"/>
          <w:szCs w:val="28"/>
          <w:lang w:val="uk-UA"/>
        </w:rPr>
        <w:t>– колектив постійно шукає «жертву» – винуватця в ситуації, що склалась.</w:t>
      </w:r>
    </w:p>
    <w:p w:rsidR="00E87F73" w:rsidRPr="00E87F73" w:rsidRDefault="00E87F73" w:rsidP="00E87F73">
      <w:pPr>
        <w:pStyle w:val="3"/>
        <w:spacing w:before="0" w:beforeAutospacing="0" w:after="0" w:afterAutospacing="0"/>
        <w:ind w:left="-851"/>
        <w:jc w:val="both"/>
        <w:rPr>
          <w:i/>
          <w:sz w:val="28"/>
          <w:szCs w:val="28"/>
          <w:lang w:val="uk-UA"/>
        </w:rPr>
      </w:pPr>
      <w:r w:rsidRPr="00E87F73">
        <w:rPr>
          <w:rStyle w:val="mw-headline"/>
          <w:i/>
          <w:sz w:val="28"/>
          <w:szCs w:val="28"/>
          <w:lang w:val="uk-UA"/>
        </w:rPr>
        <w:t xml:space="preserve">Адміністративна відповідальність за вчинення </w:t>
      </w:r>
      <w:proofErr w:type="spellStart"/>
      <w:r w:rsidRPr="00E87F73">
        <w:rPr>
          <w:rStyle w:val="mw-headline"/>
          <w:i/>
          <w:sz w:val="28"/>
          <w:szCs w:val="28"/>
          <w:lang w:val="uk-UA"/>
        </w:rPr>
        <w:t>мобінгу</w:t>
      </w:r>
      <w:proofErr w:type="spellEnd"/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sz w:val="28"/>
          <w:szCs w:val="28"/>
          <w:lang w:val="uk-UA"/>
        </w:rPr>
        <w:t>Відповідно до статті 173-5 </w:t>
      </w:r>
      <w:hyperlink r:id="rId19" w:anchor="Text" w:history="1">
        <w:r w:rsidRPr="00E87F73">
          <w:rPr>
            <w:rStyle w:val="a3"/>
            <w:color w:val="auto"/>
            <w:sz w:val="28"/>
            <w:szCs w:val="28"/>
            <w:lang w:val="uk-UA"/>
          </w:rPr>
          <w:t>Кодексу України про адміністративні правопорушення</w:t>
        </w:r>
      </w:hyperlink>
      <w:r w:rsidRPr="00E87F73">
        <w:rPr>
          <w:sz w:val="28"/>
          <w:szCs w:val="28"/>
          <w:lang w:val="uk-UA"/>
        </w:rPr>
        <w:t xml:space="preserve"> вчинення </w:t>
      </w:r>
      <w:proofErr w:type="spellStart"/>
      <w:r w:rsidRPr="00E87F73">
        <w:rPr>
          <w:sz w:val="28"/>
          <w:szCs w:val="28"/>
          <w:lang w:val="uk-UA"/>
        </w:rPr>
        <w:t>мобінгу</w:t>
      </w:r>
      <w:proofErr w:type="spellEnd"/>
      <w:r w:rsidRPr="00E87F73">
        <w:rPr>
          <w:sz w:val="28"/>
          <w:szCs w:val="28"/>
          <w:lang w:val="uk-UA"/>
        </w:rPr>
        <w:t xml:space="preserve"> (цькування) працівника -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sz w:val="28"/>
          <w:szCs w:val="28"/>
          <w:lang w:val="uk-UA"/>
        </w:rPr>
        <w:t>тягне за собою накладення штрафу на громадян від п’ятдесяти до ста неоподатковуваних мінімумів доходів громадян або громадські роботи на строк від двадцяти до тридцяти годин і накладення штрафу на фізичних осіб - підприємців, які використовують найману працю, посадових осіб - від ста до двохсот неоподатковуваних мінімумів доходів громадян або громадські роботи на строк від тридцяти до сорока годин.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sz w:val="28"/>
          <w:szCs w:val="28"/>
          <w:lang w:val="uk-UA"/>
        </w:rPr>
        <w:t>Діяння, передбачене частиною першою цієї статті, вчинене групою осіб або особою, яку протягом року було піддано адміністративному стягненню за таке ж порушення, -</w:t>
      </w:r>
    </w:p>
    <w:p w:rsidR="00E87F73" w:rsidRPr="00E87F73" w:rsidRDefault="00E87F73" w:rsidP="00E87F73">
      <w:pPr>
        <w:pStyle w:val="a6"/>
        <w:spacing w:before="0" w:beforeAutospacing="0" w:after="0" w:afterAutospacing="0"/>
        <w:ind w:left="-851"/>
        <w:jc w:val="both"/>
        <w:rPr>
          <w:sz w:val="28"/>
          <w:szCs w:val="28"/>
          <w:lang w:val="uk-UA"/>
        </w:rPr>
      </w:pPr>
      <w:r w:rsidRPr="00E87F73">
        <w:rPr>
          <w:sz w:val="28"/>
          <w:szCs w:val="28"/>
          <w:lang w:val="uk-UA"/>
        </w:rPr>
        <w:t>тягне за собою накладення штрафу на громадян від ста до двохсот неоподатковуваних мінімумів доходів громадян або громадські роботи на строк від тридцяти до п’ятдесяти годин і накладення штрафу на фізичних осіб - підприємців, які використовують найману працю, посадових осіб - від двохсот до чотирьохсот неоподатковуваних мінімумів доходів громадян або громадські роботи на строк від сорока до шістдесяти годин.</w:t>
      </w:r>
    </w:p>
    <w:p w:rsidR="00E87F73" w:rsidRPr="00E87F73" w:rsidRDefault="00E87F73" w:rsidP="00E87F73">
      <w:pPr>
        <w:pStyle w:val="2"/>
        <w:pBdr>
          <w:bottom w:val="single" w:sz="6" w:space="0" w:color="A2A9B1"/>
        </w:pBdr>
        <w:spacing w:before="0" w:beforeAutospacing="0" w:after="0" w:afterAutospacing="0"/>
        <w:ind w:left="-851"/>
        <w:jc w:val="both"/>
        <w:rPr>
          <w:b w:val="0"/>
          <w:bCs w:val="0"/>
          <w:sz w:val="28"/>
          <w:szCs w:val="28"/>
          <w:lang w:val="uk-UA"/>
        </w:rPr>
      </w:pPr>
      <w:r w:rsidRPr="00E87F73">
        <w:rPr>
          <w:rStyle w:val="mw-headline"/>
          <w:b w:val="0"/>
          <w:bCs w:val="0"/>
          <w:sz w:val="28"/>
          <w:szCs w:val="28"/>
          <w:lang w:val="uk-UA"/>
        </w:rPr>
        <w:t>Корисні посилання</w:t>
      </w:r>
    </w:p>
    <w:p w:rsidR="00E87F73" w:rsidRPr="00E87F73" w:rsidRDefault="00E87F73" w:rsidP="00E87F73">
      <w:pPr>
        <w:numPr>
          <w:ilvl w:val="0"/>
          <w:numId w:val="5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0" w:history="1">
        <w:r w:rsidRPr="00E87F7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Конвенція МОП № 190 та Рекомендація МОП № 206 Короткий огляд</w:t>
        </w:r>
      </w:hyperlink>
    </w:p>
    <w:p w:rsidR="00E87F73" w:rsidRPr="00E87F73" w:rsidRDefault="00E87F73" w:rsidP="00E87F73">
      <w:pPr>
        <w:numPr>
          <w:ilvl w:val="0"/>
          <w:numId w:val="5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1" w:history="1">
        <w:proofErr w:type="spellStart"/>
        <w:r w:rsidRPr="00E87F7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Мобінг</w:t>
        </w:r>
        <w:proofErr w:type="spellEnd"/>
      </w:hyperlink>
    </w:p>
    <w:p w:rsidR="00E87F73" w:rsidRPr="00E87F73" w:rsidRDefault="00E87F73" w:rsidP="00E87F73">
      <w:pPr>
        <w:numPr>
          <w:ilvl w:val="0"/>
          <w:numId w:val="5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2" w:history="1">
        <w:proofErr w:type="spellStart"/>
        <w:r w:rsidRPr="00E87F7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Вебінар</w:t>
        </w:r>
        <w:proofErr w:type="spellEnd"/>
        <w:r w:rsidRPr="00E87F7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 xml:space="preserve"> "Дискримінація в трудових відносинах: </w:t>
        </w:r>
        <w:proofErr w:type="spellStart"/>
        <w:r w:rsidRPr="00E87F7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мобінг</w:t>
        </w:r>
        <w:proofErr w:type="spellEnd"/>
        <w:r w:rsidRPr="00E87F7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"</w:t>
        </w:r>
      </w:hyperlink>
    </w:p>
    <w:p w:rsidR="00E87F73" w:rsidRPr="00E87F73" w:rsidRDefault="00E87F73" w:rsidP="007146FE">
      <w:pPr>
        <w:spacing w:after="0" w:line="240" w:lineRule="auto"/>
        <w:ind w:left="14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87F73" w:rsidRPr="00E87F73" w:rsidSect="007146FE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7611"/>
    <w:multiLevelType w:val="multilevel"/>
    <w:tmpl w:val="9898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405C2"/>
    <w:multiLevelType w:val="multilevel"/>
    <w:tmpl w:val="00EC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F7838"/>
    <w:multiLevelType w:val="multilevel"/>
    <w:tmpl w:val="B2DE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6233A4"/>
    <w:multiLevelType w:val="multilevel"/>
    <w:tmpl w:val="D2CC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D857A1"/>
    <w:multiLevelType w:val="multilevel"/>
    <w:tmpl w:val="28B0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2E"/>
    <w:rsid w:val="00072F91"/>
    <w:rsid w:val="001867A7"/>
    <w:rsid w:val="005E402E"/>
    <w:rsid w:val="007146FE"/>
    <w:rsid w:val="00B94915"/>
    <w:rsid w:val="00E8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7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7F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1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71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7146FE"/>
  </w:style>
  <w:style w:type="paragraph" w:customStyle="1" w:styleId="rvps6">
    <w:name w:val="rvps6"/>
    <w:basedOn w:val="a"/>
    <w:rsid w:val="0071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146FE"/>
  </w:style>
  <w:style w:type="paragraph" w:customStyle="1" w:styleId="rvps2">
    <w:name w:val="rvps2"/>
    <w:basedOn w:val="a"/>
    <w:rsid w:val="0071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7146FE"/>
  </w:style>
  <w:style w:type="character" w:styleId="a3">
    <w:name w:val="Hyperlink"/>
    <w:basedOn w:val="a0"/>
    <w:uiPriority w:val="99"/>
    <w:semiHidden/>
    <w:unhideWhenUsed/>
    <w:rsid w:val="007146FE"/>
    <w:rPr>
      <w:color w:val="0000FF"/>
      <w:u w:val="single"/>
    </w:rPr>
  </w:style>
  <w:style w:type="character" w:customStyle="1" w:styleId="rvts37">
    <w:name w:val="rvts37"/>
    <w:basedOn w:val="a0"/>
    <w:rsid w:val="007146FE"/>
  </w:style>
  <w:style w:type="character" w:customStyle="1" w:styleId="rvts9">
    <w:name w:val="rvts9"/>
    <w:basedOn w:val="a0"/>
    <w:rsid w:val="007146FE"/>
  </w:style>
  <w:style w:type="paragraph" w:customStyle="1" w:styleId="rvps4">
    <w:name w:val="rvps4"/>
    <w:basedOn w:val="a"/>
    <w:rsid w:val="0071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7146FE"/>
  </w:style>
  <w:style w:type="paragraph" w:customStyle="1" w:styleId="rvps15">
    <w:name w:val="rvps15"/>
    <w:basedOn w:val="a"/>
    <w:rsid w:val="0071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6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7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7F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F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ocnumber">
    <w:name w:val="tocnumber"/>
    <w:basedOn w:val="a0"/>
    <w:rsid w:val="00E87F73"/>
  </w:style>
  <w:style w:type="character" w:customStyle="1" w:styleId="toctext">
    <w:name w:val="toctext"/>
    <w:basedOn w:val="a0"/>
    <w:rsid w:val="00E87F73"/>
  </w:style>
  <w:style w:type="character" w:customStyle="1" w:styleId="mw-headline">
    <w:name w:val="mw-headline"/>
    <w:basedOn w:val="a0"/>
    <w:rsid w:val="00E87F73"/>
  </w:style>
  <w:style w:type="paragraph" w:styleId="a6">
    <w:name w:val="Normal (Web)"/>
    <w:basedOn w:val="a"/>
    <w:uiPriority w:val="99"/>
    <w:semiHidden/>
    <w:unhideWhenUsed/>
    <w:rsid w:val="00E8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7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7F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1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71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7146FE"/>
  </w:style>
  <w:style w:type="paragraph" w:customStyle="1" w:styleId="rvps6">
    <w:name w:val="rvps6"/>
    <w:basedOn w:val="a"/>
    <w:rsid w:val="0071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146FE"/>
  </w:style>
  <w:style w:type="paragraph" w:customStyle="1" w:styleId="rvps2">
    <w:name w:val="rvps2"/>
    <w:basedOn w:val="a"/>
    <w:rsid w:val="0071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7146FE"/>
  </w:style>
  <w:style w:type="character" w:styleId="a3">
    <w:name w:val="Hyperlink"/>
    <w:basedOn w:val="a0"/>
    <w:uiPriority w:val="99"/>
    <w:semiHidden/>
    <w:unhideWhenUsed/>
    <w:rsid w:val="007146FE"/>
    <w:rPr>
      <w:color w:val="0000FF"/>
      <w:u w:val="single"/>
    </w:rPr>
  </w:style>
  <w:style w:type="character" w:customStyle="1" w:styleId="rvts37">
    <w:name w:val="rvts37"/>
    <w:basedOn w:val="a0"/>
    <w:rsid w:val="007146FE"/>
  </w:style>
  <w:style w:type="character" w:customStyle="1" w:styleId="rvts9">
    <w:name w:val="rvts9"/>
    <w:basedOn w:val="a0"/>
    <w:rsid w:val="007146FE"/>
  </w:style>
  <w:style w:type="paragraph" w:customStyle="1" w:styleId="rvps4">
    <w:name w:val="rvps4"/>
    <w:basedOn w:val="a"/>
    <w:rsid w:val="0071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7146FE"/>
  </w:style>
  <w:style w:type="paragraph" w:customStyle="1" w:styleId="rvps15">
    <w:name w:val="rvps15"/>
    <w:basedOn w:val="a"/>
    <w:rsid w:val="0071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6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7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7F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F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ocnumber">
    <w:name w:val="tocnumber"/>
    <w:basedOn w:val="a0"/>
    <w:rsid w:val="00E87F73"/>
  </w:style>
  <w:style w:type="character" w:customStyle="1" w:styleId="toctext">
    <w:name w:val="toctext"/>
    <w:basedOn w:val="a0"/>
    <w:rsid w:val="00E87F73"/>
  </w:style>
  <w:style w:type="character" w:customStyle="1" w:styleId="mw-headline">
    <w:name w:val="mw-headline"/>
    <w:basedOn w:val="a0"/>
    <w:rsid w:val="00E87F73"/>
  </w:style>
  <w:style w:type="paragraph" w:styleId="a6">
    <w:name w:val="Normal (Web)"/>
    <w:basedOn w:val="a"/>
    <w:uiPriority w:val="99"/>
    <w:semiHidden/>
    <w:unhideWhenUsed/>
    <w:rsid w:val="00E8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7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1939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8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94_b23" TargetMode="External"/><Relationship Id="rId13" Type="http://schemas.openxmlformats.org/officeDocument/2006/relationships/hyperlink" Target="https://zakon.rada.gov.ua/laws/show/322-08" TargetMode="External"/><Relationship Id="rId18" Type="http://schemas.openxmlformats.org/officeDocument/2006/relationships/hyperlink" Target="https://zakon.rada.gov.ua/laws/show/322-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usta.edu.ua/wp-content/uploads/2016/11/%D0%9C%D0%BE%D0%B1%D1%96%D0%BD%D0%B3.pdf" TargetMode="External"/><Relationship Id="rId7" Type="http://schemas.openxmlformats.org/officeDocument/2006/relationships/hyperlink" Target="https://zakon.rada.gov.ua/laws/show/994_300" TargetMode="External"/><Relationship Id="rId12" Type="http://schemas.openxmlformats.org/officeDocument/2006/relationships/hyperlink" Target="https://zakon.rada.gov.ua/laws/show/2806-IX" TargetMode="External"/><Relationship Id="rId17" Type="http://schemas.openxmlformats.org/officeDocument/2006/relationships/hyperlink" Target="https://zakon.rada.gov.ua/laws/show/322-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759-20" TargetMode="External"/><Relationship Id="rId20" Type="http://schemas.openxmlformats.org/officeDocument/2006/relationships/hyperlink" Target="http://employers.org.ua/news/id219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zakon.rada.gov.ua/laws/show/2759-2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322-0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kon.rada.gov.ua/laws/show/322-08" TargetMode="External"/><Relationship Id="rId19" Type="http://schemas.openxmlformats.org/officeDocument/2006/relationships/hyperlink" Target="https://zakon.rada.gov.ua/laws/show/80731-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.budstandart.com/ua/catalog/doc-page.html?id_doc=67418" TargetMode="External"/><Relationship Id="rId14" Type="http://schemas.openxmlformats.org/officeDocument/2006/relationships/hyperlink" Target="https://zakon.rada.gov.ua/laws/show/5207-17" TargetMode="External"/><Relationship Id="rId22" Type="http://schemas.openxmlformats.org/officeDocument/2006/relationships/hyperlink" Target="https://www.youtube.com/watch?v=CcnsAKUaTx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Адміністратор</dc:creator>
  <cp:keywords/>
  <dc:description/>
  <cp:lastModifiedBy>Адміністратор</cp:lastModifiedBy>
  <cp:revision>3</cp:revision>
  <cp:lastPrinted>2023-03-28T08:59:00Z</cp:lastPrinted>
  <dcterms:created xsi:type="dcterms:W3CDTF">2023-03-28T08:34:00Z</dcterms:created>
  <dcterms:modified xsi:type="dcterms:W3CDTF">2023-03-28T09:30:00Z</dcterms:modified>
</cp:coreProperties>
</file>